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0" w:rsidRDefault="00725780" w:rsidP="00725780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Зарплата в «конверте». Не обманите себя!</w:t>
      </w:r>
    </w:p>
    <w:p w:rsidR="00725780" w:rsidRDefault="00725780" w:rsidP="00725780">
      <w:pPr>
        <w:spacing w:line="240" w:lineRule="atLeast"/>
        <w:contextualSpacing/>
        <w:jc w:val="both"/>
        <w:rPr>
          <w:sz w:val="16"/>
          <w:szCs w:val="16"/>
        </w:rPr>
      </w:pPr>
    </w:p>
    <w:p w:rsidR="00725780" w:rsidRDefault="00725780" w:rsidP="00725780">
      <w:pPr>
        <w:tabs>
          <w:tab w:val="left" w:pos="567"/>
        </w:tabs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 настоящего времени остается актуальной проблема выплаты заработной платы "в конверте», способствующей развитию теневой экономики.</w:t>
      </w:r>
    </w:p>
    <w:p w:rsidR="00725780" w:rsidRDefault="00725780" w:rsidP="00725780">
      <w:pPr>
        <w:tabs>
          <w:tab w:val="left" w:pos="567"/>
        </w:tabs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 "серой", "черной" зарплатами и зарплатой "в конверте" понимаются формы оплаты труда работников, операции по которым не отражаются в регистрах бухгалтерского учета и не оформляются документально субъектами хозяйствования. </w:t>
      </w:r>
      <w:proofErr w:type="gramStart"/>
      <w:r>
        <w:rPr>
          <w:sz w:val="24"/>
          <w:szCs w:val="24"/>
        </w:rPr>
        <w:t>То есть наниматель выплачивает работнику вознаграждение сверх суммы зарплаты, установленной организацией согласно штатному расписанию, без его документального оформления, либо наниматель принимает на работу работника по устной договоренности (без оформления трудовых отношений), и все выплаты за выполняемую работу субъект хозяйствования производит без документального оформления (из рук в руки).</w:t>
      </w:r>
      <w:proofErr w:type="gramEnd"/>
    </w:p>
    <w:p w:rsidR="00725780" w:rsidRDefault="00725780" w:rsidP="00725780">
      <w:pPr>
        <w:tabs>
          <w:tab w:val="left" w:pos="567"/>
        </w:tabs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Выплачивая заработную плату "в конверте", руководители организаций пытаются снизить издержки на оплату труда и, фактически уходя от отчислений в Фонд социальной защиты населения Министерства труда и социальной защиты Республики Беларусь, стремятся минимизировать налоговые платежи, причем незаконным путем. </w:t>
      </w:r>
    </w:p>
    <w:p w:rsidR="00725780" w:rsidRDefault="00725780" w:rsidP="00725780">
      <w:pPr>
        <w:tabs>
          <w:tab w:val="left" w:pos="567"/>
        </w:tabs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Работая нелегально граждане рискуют  вообще не получить оплату за выполненную работу.</w:t>
      </w:r>
    </w:p>
    <w:p w:rsidR="00725780" w:rsidRDefault="00725780" w:rsidP="00725780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Получая заплату "в конверте", работник лишается многих прав и социальных гарантий, предусмотренных трудовым законодательством: пособия по временной нетрудоспособности, по уходу за ребенком, по беременности и родам, по безработице, отпуска в связи с обучением без отрыва от производства, страховых выплат в случае потери трудоспособности, социальных выплат наследникам в связи со смертью кормильца, включения периода работы у нанимателя в трудовой стаж, уплату</w:t>
      </w:r>
      <w:proofErr w:type="gramEnd"/>
      <w:r>
        <w:rPr>
          <w:color w:val="000000" w:themeColor="text1"/>
          <w:sz w:val="24"/>
          <w:szCs w:val="24"/>
        </w:rPr>
        <w:t xml:space="preserve"> работодателем страховых взносов и т.д.</w:t>
      </w:r>
    </w:p>
    <w:p w:rsidR="00725780" w:rsidRDefault="00725780" w:rsidP="00725780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Получая символические суммы оплаты труда надо помнить о том, что пособия по нетрудоспособности, пенсии, иные социальные выплаты исчисляются исходя из официальной, отраженной в бухгалтерском учете предприятия, заработной платы.</w:t>
      </w:r>
      <w:proofErr w:type="gramEnd"/>
    </w:p>
    <w:p w:rsidR="00725780" w:rsidRDefault="00725780" w:rsidP="00725780">
      <w:pPr>
        <w:tabs>
          <w:tab w:val="left" w:pos="567"/>
        </w:tabs>
        <w:spacing w:line="240" w:lineRule="atLeast"/>
        <w:ind w:firstLine="54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Официальная заработная плата также учитывается при расчете платежеспособности граждан при получении банковских кредитов на строительство жилья, иные потребительские нужды.</w:t>
      </w:r>
    </w:p>
    <w:p w:rsidR="00725780" w:rsidRDefault="00725780" w:rsidP="00725780">
      <w:pPr>
        <w:tabs>
          <w:tab w:val="left" w:pos="567"/>
        </w:tabs>
        <w:spacing w:line="240" w:lineRule="atLeast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практике, нередки также случаи, когда граждане сами обращаются в налоговые органы по поводу легализации полученных ими доходов. </w:t>
      </w:r>
    </w:p>
    <w:p w:rsidR="00725780" w:rsidRDefault="00725780" w:rsidP="00725780">
      <w:pPr>
        <w:tabs>
          <w:tab w:val="left" w:pos="567"/>
        </w:tabs>
        <w:spacing w:line="240" w:lineRule="atLeast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Коммерческие структуры, ведущие двойную бухгалтерию, постоянно попадают в поле зрения налоговых и правоохранительных органов. С юридических лиц и индивидуальных предпринимателей, выплативших (выдавших) доходы физическим лицам без отражения на счетах бухгалтерского учета и в бухгалтерской отчетности, взыскиваются налоги, сборы, другие обязательные платежи в бюджет и пени за несвоевременную их уплату. За уклонение от уплаты налогов предусмотрена административная, а также уголовная ответственность.</w:t>
      </w:r>
    </w:p>
    <w:p w:rsidR="00725780" w:rsidRDefault="00725780" w:rsidP="00725780">
      <w:pPr>
        <w:spacing w:line="240" w:lineRule="atLeast"/>
        <w:ind w:firstLine="54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фактах нарушения налогового и иного законодательства, </w:t>
      </w:r>
      <w:proofErr w:type="gramStart"/>
      <w:r>
        <w:rPr>
          <w:b/>
          <w:sz w:val="26"/>
          <w:szCs w:val="26"/>
        </w:rPr>
        <w:t>контроль</w:t>
      </w:r>
      <w:proofErr w:type="gramEnd"/>
      <w:r>
        <w:rPr>
          <w:b/>
          <w:sz w:val="26"/>
          <w:szCs w:val="26"/>
        </w:rPr>
        <w:t xml:space="preserve"> за соблюдением которого возложен на налоговые органы, можно сообщить в телефонную справочную службу налоговых органов «Контакт-центр» по телефону 189 (стационарная сеть) или 8-017-229-79-79 в рабочие дни с 9.00 до 13.00 и с 14.00 до 18.00 час. </w:t>
      </w:r>
    </w:p>
    <w:p w:rsidR="00725780" w:rsidRDefault="00725780" w:rsidP="00725780">
      <w:pPr>
        <w:spacing w:line="240" w:lineRule="atLeast"/>
        <w:ind w:firstLine="540"/>
        <w:contextualSpacing/>
        <w:jc w:val="both"/>
        <w:rPr>
          <w:b/>
          <w:sz w:val="26"/>
          <w:szCs w:val="26"/>
        </w:rPr>
      </w:pPr>
    </w:p>
    <w:p w:rsidR="00725780" w:rsidRDefault="00725780" w:rsidP="00725780">
      <w:pPr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Инспекция   Министерства  по  налогам  и </w:t>
      </w:r>
    </w:p>
    <w:p w:rsidR="00725780" w:rsidRDefault="00725780" w:rsidP="00725780">
      <w:pPr>
        <w:spacing w:line="240" w:lineRule="atLeast"/>
        <w:ind w:firstLine="540"/>
        <w:contextualSpacing/>
        <w:jc w:val="both"/>
        <w:rPr>
          <w:rFonts w:ascii="Arial" w:hAnsi="Arial" w:cs="Arial"/>
          <w:sz w:val="20"/>
        </w:rPr>
      </w:pPr>
      <w:r>
        <w:rPr>
          <w:sz w:val="26"/>
          <w:szCs w:val="26"/>
        </w:rPr>
        <w:t xml:space="preserve">                                                             сборам по Октябрьскому району г. Гродно</w:t>
      </w:r>
    </w:p>
    <w:p w:rsidR="00725780" w:rsidRDefault="00725780" w:rsidP="00725780">
      <w:pPr>
        <w:spacing w:line="240" w:lineRule="atLeast"/>
        <w:rPr>
          <w:rFonts w:asciiTheme="minorHAnsi" w:hAnsiTheme="minorHAnsi" w:cstheme="minorBidi"/>
          <w:sz w:val="22"/>
          <w:szCs w:val="22"/>
        </w:rPr>
      </w:pPr>
    </w:p>
    <w:p w:rsidR="00725780" w:rsidRPr="00C11818" w:rsidRDefault="00725780" w:rsidP="00C11818">
      <w:pPr>
        <w:spacing w:line="180" w:lineRule="exact"/>
        <w:jc w:val="both"/>
        <w:rPr>
          <w:sz w:val="18"/>
          <w:szCs w:val="18"/>
        </w:rPr>
      </w:pPr>
    </w:p>
    <w:sectPr w:rsidR="00725780" w:rsidRPr="00C11818" w:rsidSect="0090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D72"/>
    <w:rsid w:val="000028C4"/>
    <w:rsid w:val="00043C33"/>
    <w:rsid w:val="00095DA2"/>
    <w:rsid w:val="00244711"/>
    <w:rsid w:val="002F1D0D"/>
    <w:rsid w:val="0059611D"/>
    <w:rsid w:val="005D4CC6"/>
    <w:rsid w:val="00706F51"/>
    <w:rsid w:val="00716FCC"/>
    <w:rsid w:val="00725780"/>
    <w:rsid w:val="008626E7"/>
    <w:rsid w:val="008C4A01"/>
    <w:rsid w:val="0090542A"/>
    <w:rsid w:val="009A753C"/>
    <w:rsid w:val="00B21012"/>
    <w:rsid w:val="00BA57D5"/>
    <w:rsid w:val="00C11818"/>
    <w:rsid w:val="00C1394D"/>
    <w:rsid w:val="00C41F95"/>
    <w:rsid w:val="00C92C90"/>
    <w:rsid w:val="00F4723F"/>
    <w:rsid w:val="00F70D72"/>
    <w:rsid w:val="00FF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F95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1F95"/>
    <w:pPr>
      <w:keepNext/>
      <w:ind w:left="347" w:right="-59"/>
      <w:outlineLvl w:val="1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41F95"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F9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1F9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C41F9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semiHidden/>
    <w:unhideWhenUsed/>
    <w:rsid w:val="00C41F9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41F95"/>
    <w:rPr>
      <w:sz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C41F9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Body Text Indent"/>
    <w:basedOn w:val="a"/>
    <w:link w:val="a7"/>
    <w:semiHidden/>
    <w:unhideWhenUsed/>
    <w:rsid w:val="00C41F95"/>
    <w:pPr>
      <w:ind w:left="-108"/>
      <w:jc w:val="center"/>
    </w:pPr>
    <w:rPr>
      <w:sz w:val="24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C41F9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C41F95"/>
    <w:pPr>
      <w:ind w:left="175"/>
      <w:jc w:val="center"/>
    </w:pPr>
    <w:rPr>
      <w:sz w:val="24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C41F9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header"/>
    <w:basedOn w:val="a"/>
    <w:link w:val="a9"/>
    <w:unhideWhenUsed/>
    <w:rsid w:val="0059611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961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F95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1F95"/>
    <w:pPr>
      <w:keepNext/>
      <w:ind w:left="347" w:right="-59"/>
      <w:outlineLvl w:val="1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41F95"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F9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1F9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C41F9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semiHidden/>
    <w:unhideWhenUsed/>
    <w:rsid w:val="00C41F9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41F95"/>
    <w:rPr>
      <w:sz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C41F9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Body Text Indent"/>
    <w:basedOn w:val="a"/>
    <w:link w:val="a7"/>
    <w:semiHidden/>
    <w:unhideWhenUsed/>
    <w:rsid w:val="00C41F95"/>
    <w:pPr>
      <w:ind w:left="-108"/>
      <w:jc w:val="center"/>
    </w:pPr>
    <w:rPr>
      <w:sz w:val="24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C41F9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C41F95"/>
    <w:pPr>
      <w:ind w:left="175"/>
      <w:jc w:val="center"/>
    </w:pPr>
    <w:rPr>
      <w:sz w:val="24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C41F9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header"/>
    <w:basedOn w:val="a"/>
    <w:link w:val="a9"/>
    <w:unhideWhenUsed/>
    <w:rsid w:val="0059611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961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Татьяна Владимировна</dc:creator>
  <cp:keywords/>
  <cp:lastModifiedBy>user</cp:lastModifiedBy>
  <cp:revision>4</cp:revision>
  <cp:lastPrinted>2019-10-17T08:13:00Z</cp:lastPrinted>
  <dcterms:created xsi:type="dcterms:W3CDTF">2019-10-25T13:13:00Z</dcterms:created>
  <dcterms:modified xsi:type="dcterms:W3CDTF">2019-10-25T13:14:00Z</dcterms:modified>
</cp:coreProperties>
</file>