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10" w:rsidRPr="00420433" w:rsidRDefault="00820F10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20433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820F10" w:rsidRPr="00420433" w:rsidRDefault="00820F1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Республики Беларусь 25 сентября 2017 г. N 1/17274</w:t>
      </w:r>
    </w:p>
    <w:p w:rsidR="00820F10" w:rsidRPr="00420433" w:rsidRDefault="00820F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820F10" w:rsidRPr="00420433" w:rsidRDefault="00820F1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20F10" w:rsidRPr="00420433" w:rsidRDefault="00820F1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820F10" w:rsidRPr="00420433" w:rsidRDefault="00820F1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22 сентября 2017 г. N 345</w:t>
      </w:r>
    </w:p>
    <w:p w:rsidR="00820F10" w:rsidRPr="00420433" w:rsidRDefault="00820F1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20F10" w:rsidRPr="00420433" w:rsidRDefault="00820F1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О РАЗВИТИИ ТОРГОВЛИ, ОБЩЕСТВЕННОГО ПИТАНИЯ И БЫТОВОГО ОБСЛУЖИВАНИЯ</w:t>
      </w:r>
    </w:p>
    <w:p w:rsidR="00820F10" w:rsidRPr="00420433" w:rsidRDefault="00820F1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В целях создания условий для развития торговли, общественного питания и бытового обслуживания: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2"/>
      <w:bookmarkEnd w:id="1"/>
      <w:proofErr w:type="gramStart"/>
      <w:r w:rsidRPr="00420433">
        <w:rPr>
          <w:rFonts w:ascii="Times New Roman" w:hAnsi="Times New Roman" w:cs="Times New Roman"/>
          <w:sz w:val="30"/>
          <w:szCs w:val="30"/>
        </w:rPr>
        <w:t xml:space="preserve">1.1. с 1 января 2018 г. по 31 декабря 2022 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 (далее - деятельность на территории сельской местности), а индивидуальные предприниматели и </w:t>
      </w:r>
      <w:proofErr w:type="spellStart"/>
      <w:r w:rsidRPr="00420433">
        <w:rPr>
          <w:rFonts w:ascii="Times New Roman" w:hAnsi="Times New Roman" w:cs="Times New Roman"/>
          <w:sz w:val="30"/>
          <w:szCs w:val="30"/>
        </w:rPr>
        <w:t>микроорганизации</w:t>
      </w:r>
      <w:proofErr w:type="spellEnd"/>
      <w:r w:rsidRPr="00420433">
        <w:rPr>
          <w:rFonts w:ascii="Times New Roman" w:hAnsi="Times New Roman" w:cs="Times New Roman"/>
          <w:sz w:val="30"/>
          <w:szCs w:val="30"/>
        </w:rPr>
        <w:t xml:space="preserve"> - на территории малых городских поселений общественное</w:t>
      </w:r>
      <w:proofErr w:type="gramEnd"/>
      <w:r w:rsidRPr="00420433">
        <w:rPr>
          <w:rFonts w:ascii="Times New Roman" w:hAnsi="Times New Roman" w:cs="Times New Roman"/>
          <w:sz w:val="30"/>
          <w:szCs w:val="30"/>
        </w:rPr>
        <w:t xml:space="preserve"> питание в объектах общественного питания, оказание бытовых услуг (далее - деятельность на территории малых городских поселений) с учетом следующих особенностей: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3"/>
      <w:bookmarkEnd w:id="2"/>
      <w:r w:rsidRPr="00420433">
        <w:rPr>
          <w:rFonts w:ascii="Times New Roman" w:hAnsi="Times New Roman" w:cs="Times New Roman"/>
          <w:sz w:val="30"/>
          <w:szCs w:val="30"/>
        </w:rPr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налога на добавленную стоимость;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14"/>
      <w:bookmarkEnd w:id="3"/>
      <w:r w:rsidRPr="00420433">
        <w:rPr>
          <w:rFonts w:ascii="Times New Roman" w:hAnsi="Times New Roman" w:cs="Times New Roman"/>
          <w:sz w:val="30"/>
          <w:szCs w:val="30"/>
        </w:rPr>
        <w:t>прибыль от реализации товаров (работ, услуг), полученная соответственно от деятельности на территории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15"/>
      <w:bookmarkEnd w:id="4"/>
      <w:r w:rsidRPr="00420433">
        <w:rPr>
          <w:rFonts w:ascii="Times New Roman" w:hAnsi="Times New Roman" w:cs="Times New Roman"/>
          <w:sz w:val="30"/>
          <w:szCs w:val="30"/>
        </w:rPr>
        <w:t xml:space="preserve">доходы от деятельности на соответствующих территориях, уменьшенные на сумму налоговых вычетов, применяемых последовательно в соответствии со </w:t>
      </w:r>
      <w:hyperlink r:id="rId5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статьями 168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, </w:t>
      </w:r>
      <w:hyperlink r:id="rId6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164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- </w:t>
      </w:r>
      <w:hyperlink r:id="rId7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166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Беларусь, облагаются подоходным налогом с физических лиц по ставке 6 процентов, если получающие их индивидуальные предприниматели являются плательщиками этого налога;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16"/>
      <w:bookmarkEnd w:id="5"/>
      <w:r w:rsidRPr="00420433">
        <w:rPr>
          <w:rFonts w:ascii="Times New Roman" w:hAnsi="Times New Roman" w:cs="Times New Roman"/>
          <w:sz w:val="30"/>
          <w:szCs w:val="30"/>
        </w:rPr>
        <w:t xml:space="preserve"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составляет одну базовую </w:t>
      </w:r>
      <w:hyperlink r:id="rId8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величину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(исходя из размера базовой величины, установленной на дату представления индивидуальным предпринимателем в налоговый орган налоговой декларации (расчета) по единому налогу). Для индивидуальных предпринимателей, оказывающих бытовые услуги, являющихся плательщиками единого налога, положения </w:t>
      </w:r>
      <w:r w:rsidRPr="00420433">
        <w:rPr>
          <w:rFonts w:ascii="Times New Roman" w:hAnsi="Times New Roman" w:cs="Times New Roman"/>
          <w:sz w:val="30"/>
          <w:szCs w:val="30"/>
        </w:rPr>
        <w:lastRenderedPageBreak/>
        <w:t xml:space="preserve">настоящего абзаца применяются в отношении бытовых услуг населению согласно </w:t>
      </w:r>
      <w:hyperlink w:anchor="P70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приложению</w:t>
        </w:r>
      </w:hyperlink>
      <w:r w:rsidRPr="00420433">
        <w:rPr>
          <w:rFonts w:ascii="Times New Roman" w:hAnsi="Times New Roman" w:cs="Times New Roman"/>
          <w:sz w:val="30"/>
          <w:szCs w:val="30"/>
        </w:rPr>
        <w:t>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17"/>
      <w:bookmarkEnd w:id="6"/>
      <w:r w:rsidRPr="00420433">
        <w:rPr>
          <w:rFonts w:ascii="Times New Roman" w:hAnsi="Times New Roman" w:cs="Times New Roman"/>
          <w:sz w:val="30"/>
          <w:szCs w:val="30"/>
        </w:rPr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18"/>
      <w:bookmarkEnd w:id="7"/>
      <w:proofErr w:type="gramStart"/>
      <w:r w:rsidRPr="00420433">
        <w:rPr>
          <w:rFonts w:ascii="Times New Roman" w:hAnsi="Times New Roman" w:cs="Times New Roman"/>
          <w:sz w:val="30"/>
          <w:szCs w:val="30"/>
        </w:rPr>
        <w:t>расположенные на территории 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месяце деятельности на территории сельской местности в этих капитальных строениях (зданиях, сооружениях);</w:t>
      </w:r>
      <w:proofErr w:type="gramEnd"/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19"/>
      <w:bookmarkEnd w:id="8"/>
      <w:proofErr w:type="gramStart"/>
      <w:r w:rsidRPr="00420433">
        <w:rPr>
          <w:rFonts w:ascii="Times New Roman" w:hAnsi="Times New Roman" w:cs="Times New Roman"/>
          <w:sz w:val="30"/>
          <w:szCs w:val="30"/>
        </w:rPr>
        <w:t xml:space="preserve">расположенные на территории 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</w:t>
      </w:r>
      <w:proofErr w:type="spellStart"/>
      <w:r w:rsidRPr="00420433">
        <w:rPr>
          <w:rFonts w:ascii="Times New Roman" w:hAnsi="Times New Roman" w:cs="Times New Roman"/>
          <w:sz w:val="30"/>
          <w:szCs w:val="30"/>
        </w:rPr>
        <w:t>микроорганизаций</w:t>
      </w:r>
      <w:proofErr w:type="spellEnd"/>
      <w:r w:rsidRPr="00420433">
        <w:rPr>
          <w:rFonts w:ascii="Times New Roman" w:hAnsi="Times New Roman" w:cs="Times New Roman"/>
          <w:sz w:val="30"/>
          <w:szCs w:val="30"/>
        </w:rPr>
        <w:t xml:space="preserve"> при условии осуществления ими в календарном месяце деятельности на территории малых городских поселений в этих капитальных строениях (зданиях, сооружениях);</w:t>
      </w:r>
      <w:proofErr w:type="gramEnd"/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20"/>
      <w:bookmarkEnd w:id="9"/>
      <w:r w:rsidRPr="00420433">
        <w:rPr>
          <w:rFonts w:ascii="Times New Roman" w:hAnsi="Times New Roman" w:cs="Times New Roman"/>
          <w:sz w:val="30"/>
          <w:szCs w:val="30"/>
        </w:rPr>
        <w:t xml:space="preserve">1.2. действие </w:t>
      </w:r>
      <w:hyperlink w:anchor="P12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подпунктов 1.1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32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1.5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433">
        <w:rPr>
          <w:rFonts w:ascii="Times New Roman" w:hAnsi="Times New Roman" w:cs="Times New Roman"/>
          <w:sz w:val="30"/>
          <w:szCs w:val="30"/>
        </w:rPr>
        <w:t xml:space="preserve">Льготы, предусмотренные в </w:t>
      </w:r>
      <w:hyperlink w:anchor="P13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абзацах втором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16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пятом подпункта 1.1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услуг), на которые распространяются положения, содержащиеся в абзацах втором - пятом подпункта 1.1 настоящего пункта, а для целей </w:t>
      </w:r>
      <w:hyperlink w:anchor="P14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абзацев третьего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15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четвертого подпункта 1.1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настоящего пункта</w:t>
      </w:r>
      <w:proofErr w:type="gramEnd"/>
      <w:r w:rsidRPr="00420433">
        <w:rPr>
          <w:rFonts w:ascii="Times New Roman" w:hAnsi="Times New Roman" w:cs="Times New Roman"/>
          <w:sz w:val="30"/>
          <w:szCs w:val="30"/>
        </w:rPr>
        <w:t xml:space="preserve"> - также затрат (расходов) по производству и (или) реализации этих товаров (работ, услуг).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 xml:space="preserve">Выручка от реализации товаров (работ, услуг) при осуществлении деятельности на соответствующих территориях, указанной в </w:t>
      </w:r>
      <w:hyperlink w:anchor="P16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абзаце пятом подпункта 1.1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настоящего пункта, освобождается от доплаты единого налога, предусмотренной в </w:t>
      </w:r>
      <w:hyperlink r:id="rId9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пункте 9 статьи 299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У индивидуальных предпринимателей и юридических лиц: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 xml:space="preserve">для применения освобождения от налога на добавленную стоимость, предусмотренного в </w:t>
      </w:r>
      <w:hyperlink w:anchor="P13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абзаце втором подпункта 1.1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настоящего пункта, распределение налоговых вычетов по налогу на добавленную стоимость осуществляется методом раздельного учета;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 xml:space="preserve"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</w:t>
      </w:r>
      <w:r w:rsidRPr="00420433">
        <w:rPr>
          <w:rFonts w:ascii="Times New Roman" w:hAnsi="Times New Roman" w:cs="Times New Roman"/>
          <w:sz w:val="30"/>
          <w:szCs w:val="30"/>
        </w:rPr>
        <w:lastRenderedPageBreak/>
        <w:t xml:space="preserve">освобождаются от налога на добавленную стоимость согласно </w:t>
      </w:r>
      <w:hyperlink w:anchor="P13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абзацу второму подпункта 1.1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 xml:space="preserve">Льготы, предусмотренные в </w:t>
      </w:r>
      <w:hyperlink w:anchor="P17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абзацах шестом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19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восьмом подпункта 1.1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шестом - восьмом подпункта 1.1 настоящего пункта. При этом льготы по налогу на недвижимость, предусмотренные в </w:t>
      </w:r>
      <w:hyperlink w:anchor="P18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абзацах седьмом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19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восьмом подпункта 1.1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настоящего пункта, предоставляются в квартале, в котором юридическое лицо имеет право на льготу.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порядке, установленном Министерством по налогам и сборам;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1.3. 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напитками: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с использованием на территории сельской местности автомагазинов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433">
        <w:rPr>
          <w:rFonts w:ascii="Times New Roman" w:hAnsi="Times New Roman" w:cs="Times New Roman"/>
          <w:sz w:val="30"/>
          <w:szCs w:val="30"/>
        </w:rPr>
        <w:t>1.4. 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расположенных на территории сельской местности магазинах и (или) павильонах независимо от торговой площади таких магазинов и (или) павильонов;</w:t>
      </w:r>
      <w:proofErr w:type="gramEnd"/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32"/>
      <w:bookmarkEnd w:id="10"/>
      <w:proofErr w:type="gramStart"/>
      <w:r w:rsidRPr="00420433">
        <w:rPr>
          <w:rFonts w:ascii="Times New Roman" w:hAnsi="Times New Roman" w:cs="Times New Roman"/>
          <w:sz w:val="30"/>
          <w:szCs w:val="30"/>
        </w:rPr>
        <w:t>1.5. юридические лица, осуществляющие розничную торговлю, доля которых в объеме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действия, направленные на увеличение такой площади;</w:t>
      </w:r>
      <w:proofErr w:type="gramEnd"/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33"/>
      <w:bookmarkEnd w:id="11"/>
      <w:proofErr w:type="gramStart"/>
      <w:r w:rsidRPr="00420433">
        <w:rPr>
          <w:rFonts w:ascii="Times New Roman" w:hAnsi="Times New Roman" w:cs="Times New Roman"/>
          <w:sz w:val="30"/>
          <w:szCs w:val="30"/>
        </w:rPr>
        <w:t xml:space="preserve">1.6. капитальные строения (здания, сооружения), изолированные помещения (далее - объекты недвижимого имущества), находящиеся в собственности Республики Беларусь, могут отчуждаться индивидуальным предпринимателям и юридическим лицам на возмездной основе без проведения аукциона по </w:t>
      </w:r>
      <w:r w:rsidRPr="00420433">
        <w:rPr>
          <w:rFonts w:ascii="Times New Roman" w:hAnsi="Times New Roman" w:cs="Times New Roman"/>
          <w:sz w:val="30"/>
          <w:szCs w:val="30"/>
        </w:rPr>
        <w:lastRenderedPageBreak/>
        <w:t>рыночной стоимости для осуществления розничной торговли, общественного питания, оказания бытовых услуг населению на территории сельской местности и (или) на территории малых городских поселений.</w:t>
      </w:r>
      <w:proofErr w:type="gramEnd"/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34"/>
      <w:bookmarkEnd w:id="12"/>
      <w:r w:rsidRPr="00420433">
        <w:rPr>
          <w:rFonts w:ascii="Times New Roman" w:hAnsi="Times New Roman" w:cs="Times New Roman"/>
          <w:sz w:val="30"/>
          <w:szCs w:val="30"/>
        </w:rPr>
        <w:t xml:space="preserve">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деятельности, указанных в </w:t>
      </w:r>
      <w:hyperlink w:anchor="P33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настоящего подпункта, право </w:t>
      </w:r>
      <w:proofErr w:type="gramStart"/>
      <w:r w:rsidRPr="00420433">
        <w:rPr>
          <w:rFonts w:ascii="Times New Roman" w:hAnsi="Times New Roman" w:cs="Times New Roman"/>
          <w:sz w:val="30"/>
          <w:szCs w:val="30"/>
        </w:rPr>
        <w:t>собственности</w:t>
      </w:r>
      <w:proofErr w:type="gramEnd"/>
      <w:r w:rsidRPr="00420433">
        <w:rPr>
          <w:rFonts w:ascii="Times New Roman" w:hAnsi="Times New Roman" w:cs="Times New Roman"/>
          <w:sz w:val="30"/>
          <w:szCs w:val="30"/>
        </w:rPr>
        <w:t xml:space="preserve"> на которые не зарегистрировано в установленном порядке, может приниматься без наличия документов, удостоверяющих государственную регистрацию их создания и возникновения прав на такие объекты. </w:t>
      </w:r>
      <w:proofErr w:type="gramStart"/>
      <w:r w:rsidRPr="00420433">
        <w:rPr>
          <w:rFonts w:ascii="Times New Roman" w:hAnsi="Times New Roman" w:cs="Times New Roman"/>
          <w:sz w:val="30"/>
          <w:szCs w:val="30"/>
        </w:rPr>
        <w:t xml:space="preserve">Оформление </w:t>
      </w:r>
      <w:proofErr w:type="spellStart"/>
      <w:r w:rsidRPr="00420433">
        <w:rPr>
          <w:rFonts w:ascii="Times New Roman" w:hAnsi="Times New Roman" w:cs="Times New Roman"/>
          <w:sz w:val="30"/>
          <w:szCs w:val="30"/>
        </w:rPr>
        <w:t>правоудостоверяющих</w:t>
      </w:r>
      <w:proofErr w:type="spellEnd"/>
      <w:r w:rsidRPr="00420433">
        <w:rPr>
          <w:rFonts w:ascii="Times New Roman" w:hAnsi="Times New Roman" w:cs="Times New Roman"/>
          <w:sz w:val="30"/>
          <w:szCs w:val="30"/>
        </w:rPr>
        <w:t xml:space="preserve"> документов на объекты недвижимого имущества и земельные участки, на которых они расположены, выполнение работ по изготовлению землеустроительного дела, технической инвентаризации объектов и (или) изготовлению технического </w:t>
      </w:r>
      <w:hyperlink r:id="rId10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паспорта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индивидуальных предпринимателей и юридических лиц.</w:t>
      </w:r>
      <w:proofErr w:type="gramEnd"/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 xml:space="preserve">Стоимость объекта недвижимого имущества уменьшается на сумму внесенной индивидуальным предпринимателем и юридическим лицом, </w:t>
      </w:r>
      <w:proofErr w:type="gramStart"/>
      <w:r w:rsidRPr="00420433">
        <w:rPr>
          <w:rFonts w:ascii="Times New Roman" w:hAnsi="Times New Roman" w:cs="Times New Roman"/>
          <w:sz w:val="30"/>
          <w:szCs w:val="30"/>
        </w:rPr>
        <w:t>приобретающими</w:t>
      </w:r>
      <w:proofErr w:type="gramEnd"/>
      <w:r w:rsidRPr="00420433">
        <w:rPr>
          <w:rFonts w:ascii="Times New Roman" w:hAnsi="Times New Roman" w:cs="Times New Roman"/>
          <w:sz w:val="30"/>
          <w:szCs w:val="30"/>
        </w:rPr>
        <w:t xml:space="preserve"> этот объект, платы за совершение действий, указанных в </w:t>
      </w:r>
      <w:hyperlink w:anchor="P34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части второй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настоящего подпункта, но не более стоимости объекта;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1.7. для целей настоящего Указа: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индивидуальный предприниматель - индивидуальный предприниматель, зарегистрированный в Республике Беларусь;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юридическое лицо - юридическое лицо Республики Беларусь;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20433">
        <w:rPr>
          <w:rFonts w:ascii="Times New Roman" w:hAnsi="Times New Roman" w:cs="Times New Roman"/>
          <w:sz w:val="30"/>
          <w:szCs w:val="30"/>
        </w:rPr>
        <w:t>микроорганизация</w:t>
      </w:r>
      <w:proofErr w:type="spellEnd"/>
      <w:r w:rsidRPr="00420433">
        <w:rPr>
          <w:rFonts w:ascii="Times New Roman" w:hAnsi="Times New Roman" w:cs="Times New Roman"/>
          <w:sz w:val="30"/>
          <w:szCs w:val="30"/>
        </w:rPr>
        <w:t xml:space="preserve"> - юридическое лицо со средней численностью работников за календарный месяц не более 15 человек. </w:t>
      </w:r>
      <w:proofErr w:type="gramStart"/>
      <w:r w:rsidRPr="00420433">
        <w:rPr>
          <w:rFonts w:ascii="Times New Roman" w:hAnsi="Times New Roman" w:cs="Times New Roman"/>
          <w:sz w:val="30"/>
          <w:szCs w:val="30"/>
        </w:rPr>
        <w:t>При этом средняя численность работников за календарный месяц определяется по календарному месяцу, за который применяются 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  <w:proofErr w:type="gramEnd"/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 xml:space="preserve">территория сельской местности - территория Республики Беларусь, за исключением территории поселков городского типа и городов, среднегодовая численность населения </w:t>
      </w:r>
      <w:hyperlink w:anchor="P47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20433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42043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20433">
        <w:rPr>
          <w:rFonts w:ascii="Times New Roman" w:hAnsi="Times New Roman" w:cs="Times New Roman"/>
          <w:sz w:val="30"/>
          <w:szCs w:val="30"/>
        </w:rPr>
        <w:t>которой</w:t>
      </w:r>
      <w:proofErr w:type="gramEnd"/>
      <w:r w:rsidRPr="00420433">
        <w:rPr>
          <w:rFonts w:ascii="Times New Roman" w:hAnsi="Times New Roman" w:cs="Times New Roman"/>
          <w:sz w:val="30"/>
          <w:szCs w:val="30"/>
        </w:rPr>
        <w:t xml:space="preserve"> превышает 2 тысячи человек;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 xml:space="preserve">территория малых городских поселений - территория поселков городского типа и городов, среднегодовая </w:t>
      </w:r>
      <w:proofErr w:type="gramStart"/>
      <w:r w:rsidRPr="00420433">
        <w:rPr>
          <w:rFonts w:ascii="Times New Roman" w:hAnsi="Times New Roman" w:cs="Times New Roman"/>
          <w:sz w:val="30"/>
          <w:szCs w:val="30"/>
        </w:rPr>
        <w:t>численность</w:t>
      </w:r>
      <w:proofErr w:type="gramEnd"/>
      <w:r w:rsidRPr="00420433">
        <w:rPr>
          <w:rFonts w:ascii="Times New Roman" w:hAnsi="Times New Roman" w:cs="Times New Roman"/>
          <w:sz w:val="30"/>
          <w:szCs w:val="30"/>
        </w:rPr>
        <w:t xml:space="preserve"> населения </w:t>
      </w:r>
      <w:hyperlink w:anchor="P47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 </w:t>
      </w:r>
      <w:proofErr w:type="gramStart"/>
      <w:r w:rsidRPr="00420433">
        <w:rPr>
          <w:rFonts w:ascii="Times New Roman" w:hAnsi="Times New Roman" w:cs="Times New Roman"/>
          <w:sz w:val="30"/>
          <w:szCs w:val="30"/>
        </w:rPr>
        <w:t>которой</w:t>
      </w:r>
      <w:proofErr w:type="gramEnd"/>
      <w:r w:rsidRPr="00420433">
        <w:rPr>
          <w:rFonts w:ascii="Times New Roman" w:hAnsi="Times New Roman" w:cs="Times New Roman"/>
          <w:sz w:val="30"/>
          <w:szCs w:val="30"/>
        </w:rPr>
        <w:t xml:space="preserve"> составляет более 2 тысяч человек, но не превышает 10 тысяч человек;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единый налог - единый налог с индивидуальных предпринимателей и иных физических лиц;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к бытовым услугам: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 xml:space="preserve">оказываемым индивидуальными предпринимателями и юридическими лицами, за исключением индивидуальных предпринимателей, являющихся </w:t>
      </w:r>
      <w:r w:rsidRPr="00420433">
        <w:rPr>
          <w:rFonts w:ascii="Times New Roman" w:hAnsi="Times New Roman" w:cs="Times New Roman"/>
          <w:sz w:val="30"/>
          <w:szCs w:val="30"/>
        </w:rPr>
        <w:lastRenderedPageBreak/>
        <w:t>плательщиками единого налога, относятся бытовые услуги, определенные законодательством о ведении государственного информационного ресурса "Реестр бытовых услуг Республики Беларусь";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 xml:space="preserve">оказываемым индивидуальными предпринимателями, являющимися плательщиками единого налога, относятся бытовые услуги согласно </w:t>
      </w:r>
      <w:hyperlink w:anchor="P70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приложению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к настоящему Указу.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47"/>
      <w:bookmarkEnd w:id="13"/>
      <w:r w:rsidRPr="00420433">
        <w:rPr>
          <w:rFonts w:ascii="Times New Roman" w:hAnsi="Times New Roman" w:cs="Times New Roman"/>
          <w:sz w:val="30"/>
          <w:szCs w:val="30"/>
        </w:rPr>
        <w:t>&lt;*&gt;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"Численность населения на 1 января 2017 г. и среднегодовая численность населения за 2016 год по Республике Беларусь в разрезе областей, районов, городов и поселков городского типа".</w:t>
      </w:r>
    </w:p>
    <w:p w:rsidR="00820F10" w:rsidRPr="00420433" w:rsidRDefault="00820F1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2. Действие настоящего Указа не распространяется: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2.1. на розничную торговлю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2.2. на оказание бытовых услуг по техническому обслуживанию и ремонту автотранспортных средств.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3. Совету Министров Республики Беларусь в шестимесячный срок: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обеспечить приведение актов законодательства в соответствие с настоящим Указом;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принять иные меры по реализации настоящего Указа.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 xml:space="preserve">4. Областным Советам депутатов до 1 декабря 2017 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распространяется действие </w:t>
      </w:r>
      <w:hyperlink w:anchor="P12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подпунктов 1.1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, </w:t>
      </w:r>
      <w:hyperlink w:anchor="P20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1.2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32" w:history="1">
        <w:r w:rsidRPr="00420433">
          <w:rPr>
            <w:rFonts w:ascii="Times New Roman" w:hAnsi="Times New Roman" w:cs="Times New Roman"/>
            <w:color w:val="0000FF"/>
            <w:sz w:val="30"/>
            <w:szCs w:val="30"/>
          </w:rPr>
          <w:t>1.5 пункта 1</w:t>
        </w:r>
      </w:hyperlink>
      <w:r w:rsidRPr="00420433">
        <w:rPr>
          <w:rFonts w:ascii="Times New Roman" w:hAnsi="Times New Roman" w:cs="Times New Roman"/>
          <w:sz w:val="30"/>
          <w:szCs w:val="30"/>
        </w:rPr>
        <w:t xml:space="preserve"> настоящего Указа.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5. Рекомендовать местным Советам депутатов до 1 декабря 2017 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6. Настоящий Указ вступает в силу после его официального опубликования.</w:t>
      </w:r>
    </w:p>
    <w:p w:rsidR="00820F10" w:rsidRPr="00420433" w:rsidRDefault="00820F1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820F10" w:rsidRPr="004204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0F10" w:rsidRPr="00420433" w:rsidRDefault="00820F1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20433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0F10" w:rsidRPr="00420433" w:rsidRDefault="00820F10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20433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820F10" w:rsidRPr="00420433" w:rsidRDefault="00820F1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20F10" w:rsidRPr="00420433" w:rsidRDefault="00820F1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20F10" w:rsidRPr="00420433" w:rsidRDefault="00820F1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20F10" w:rsidRPr="00420433" w:rsidRDefault="00820F1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20F10" w:rsidRPr="00420433" w:rsidRDefault="00820F1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20F10" w:rsidRPr="00420433" w:rsidRDefault="00820F10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820F10" w:rsidRPr="00420433" w:rsidRDefault="00820F1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к Указу Президента</w:t>
      </w:r>
    </w:p>
    <w:p w:rsidR="00820F10" w:rsidRPr="00420433" w:rsidRDefault="00820F1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820F10" w:rsidRPr="00420433" w:rsidRDefault="00820F1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22.09.2017 N 345</w:t>
      </w:r>
    </w:p>
    <w:p w:rsidR="00820F10" w:rsidRPr="00420433" w:rsidRDefault="00820F1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20F10" w:rsidRPr="00420433" w:rsidRDefault="00820F1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4" w:name="P70"/>
      <w:bookmarkEnd w:id="14"/>
      <w:r w:rsidRPr="00420433">
        <w:rPr>
          <w:rFonts w:ascii="Times New Roman" w:hAnsi="Times New Roman" w:cs="Times New Roman"/>
          <w:sz w:val="30"/>
          <w:szCs w:val="30"/>
        </w:rPr>
        <w:t>ПЕРЕЧЕНЬ</w:t>
      </w:r>
    </w:p>
    <w:p w:rsidR="00820F10" w:rsidRPr="00420433" w:rsidRDefault="00820F1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БЫТОВЫХ УСЛУГ НАСЕЛЕНИЮ, ОКАЗЫВАЕМЫХ ИНДИВИДУАЛЬНЫМИ ПРЕДПРИНИМАТЕЛЯМИ, ЯВЛЯЮЩИМИСЯ ПЛАТЕЛЬЩИКАМИ ЕДИНОГО НАЛОГА</w:t>
      </w:r>
    </w:p>
    <w:p w:rsidR="00820F10" w:rsidRPr="00420433" w:rsidRDefault="00820F1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1. Производство мебели по заказам потребителей, включая монтаж, установку мебели собственного производства.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2. 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3. Производство по заказам потребителей одежды (в том числе головных уборов), готовой трикотажной одежды машинной и ручной вязки, обуви, ремонт швейных, трикотажных изделий и головных уборов, кроме ремонта ковров и ковровых изделий.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4. Деятельность в области фотографии, видеосъемка событий.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5. Услуги парикмахерских и салонов красоты, татуировка, пирсинг, нательная живопись, перманентный макияж.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6. Чистка и уборка жилых помещений.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7. Изоляционные работы, штукатурные работы, столярные и плотницкие работы, устройство покрытий пола и облицовка стен, малярные и стекольные работы, электромонтажные работы и прочие отделочные работы, а также кровельные работы, работы по обеспечению гидроизоляции.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8. Производство изделий из бетона, гипса, цемента, резка, обработка и отделка декоративного и строительного камня, производство готовых металлических изделий по заказам потребителей.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9. Деятельность по обеспечению физического комфорта.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10. Аренда автомобилей, прочих машин, оборудования и материальных активов, аренда, прокат прочих предметов личного потребления и бытовых товаров, прокат видеокассет и дисков с записью.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11. Тиражирование записанных носителей информации.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12. Ремонт, техническое обслуживание компьютеров и периферийного оборудования.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13. Стирка, химическая чистка и окрашивание текстильных и меховых изделий.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 xml:space="preserve">14. Производство деревянных строительных конструкций и столярных изделий, включая монтаж и установку изделий собственного производства, производство из пластмассы и поливинилхлорида дверных полотен и коробок, окон и оконных коробок, жалюзи, включая монтаж и установку изделий </w:t>
      </w:r>
      <w:r w:rsidRPr="00420433">
        <w:rPr>
          <w:rFonts w:ascii="Times New Roman" w:hAnsi="Times New Roman" w:cs="Times New Roman"/>
          <w:sz w:val="30"/>
          <w:szCs w:val="30"/>
        </w:rPr>
        <w:lastRenderedPageBreak/>
        <w:t>собственного производства.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 xml:space="preserve">15. </w:t>
      </w:r>
      <w:proofErr w:type="gramStart"/>
      <w:r w:rsidRPr="00420433">
        <w:rPr>
          <w:rFonts w:ascii="Times New Roman" w:hAnsi="Times New Roman" w:cs="Times New Roman"/>
          <w:sz w:val="30"/>
          <w:szCs w:val="30"/>
        </w:rPr>
        <w:t>Деятельность дизайнеров, художников-оформителей, выполнение работ по оформлению (украшению) автомобилей, внутреннего пространства капитальных строений (зданий, сооружений), помещений, иных мест.</w:t>
      </w:r>
      <w:proofErr w:type="gramEnd"/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16. Производство по заказам потребителей готовых текстильных изделий, ковровых изделий ручной выработки, кроме одежды, ремонт брезентов, палаток, тентов, парусов.</w:t>
      </w:r>
    </w:p>
    <w:p w:rsidR="00820F10" w:rsidRPr="00420433" w:rsidRDefault="00820F1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433">
        <w:rPr>
          <w:rFonts w:ascii="Times New Roman" w:hAnsi="Times New Roman" w:cs="Times New Roman"/>
          <w:sz w:val="30"/>
          <w:szCs w:val="30"/>
        </w:rPr>
        <w:t>17. Услуги по организации похорон и предоставление услуг, связанных с ними.</w:t>
      </w:r>
    </w:p>
    <w:sectPr w:rsidR="00820F10" w:rsidRPr="00420433" w:rsidSect="00420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10"/>
    <w:rsid w:val="00420433"/>
    <w:rsid w:val="004A7977"/>
    <w:rsid w:val="00820F10"/>
    <w:rsid w:val="00832FBB"/>
    <w:rsid w:val="00C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4B9375F3A625393A9A6B6F3D251055FE7642ED49F89426686295065E8FF42119CGEf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74B9375F3A625393A9A6B6F3D251055FE7642ED49F8C48688C2D5065E8FF42119CEB4DC6BAED16DE168EB8AAG5fE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4B9375F3A625393A9A6B6F3D251055FE7642ED49F8C48688C2D5065E8FF42119CEB4DC6BAED16DE1689BCA6G5f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74B9375F3A625393A9A6B6F3D251055FE7642ED49F8C48688C2D5065E8FF42119CEB4DC6BAED16DE1689B2AEG5fEJ" TargetMode="External"/><Relationship Id="rId10" Type="http://schemas.openxmlformats.org/officeDocument/2006/relationships/hyperlink" Target="consultantplus://offline/ref=3F74B9375F3A625393A9A6B6F3D251055FE7642ED49F8C44608D225065E8FF42119CEB4DC6BAED16DE1789B9ADG5f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4B9375F3A625393A9A6B6F3D251055FE7642ED49F8C48688C2D5065E8FF42119CEB4DC6BAED16DE1488BEABG5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Селях Елена Алексеевна</dc:creator>
  <cp:lastModifiedBy>Селях Елена Алексеевна</cp:lastModifiedBy>
  <cp:revision>2</cp:revision>
  <dcterms:created xsi:type="dcterms:W3CDTF">2018-04-10T13:14:00Z</dcterms:created>
  <dcterms:modified xsi:type="dcterms:W3CDTF">2018-04-10T13:14:00Z</dcterms:modified>
</cp:coreProperties>
</file>